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2" w:rightFromText="142" w:vertAnchor="page" w:horzAnchor="page" w:tblpX="5937" w:tblpY="681"/>
        <w:tblW w:w="492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4928"/>
      </w:tblGrid>
      <w:tr w:rsidR="005E0E7A" w:rsidTr="00091D09">
        <w:trPr>
          <w:trHeight w:val="276"/>
        </w:trPr>
        <w:tc>
          <w:tcPr>
            <w:tcW w:w="4928" w:type="dxa"/>
          </w:tcPr>
          <w:p w:rsidR="005E0E7A" w:rsidRPr="00DE0FED" w:rsidRDefault="005E0E7A" w:rsidP="00091D09">
            <w:pPr>
              <w:pStyle w:val="FormularioOAMC"/>
              <w:framePr w:hSpace="0" w:wrap="auto" w:vAnchor="margin" w:hAnchor="text" w:xAlign="left" w:yAlign="inline"/>
            </w:pPr>
          </w:p>
        </w:tc>
      </w:tr>
    </w:tbl>
    <w:p w:rsidR="00AE1286" w:rsidRPr="00BF45BC" w:rsidRDefault="008F3E74" w:rsidP="00654A8F">
      <w:pPr>
        <w:pBdr>
          <w:bottom w:val="single" w:sz="4" w:space="1" w:color="auto"/>
        </w:pBdr>
        <w:spacing w:after="0"/>
        <w:jc w:val="left"/>
        <w:rPr>
          <w:sz w:val="20"/>
          <w:szCs w:val="20"/>
        </w:rPr>
      </w:pPr>
      <w:r w:rsidRPr="00BF45BC">
        <w:rPr>
          <w:sz w:val="20"/>
          <w:szCs w:val="20"/>
        </w:rPr>
        <w:t>FACTURACION ELECTRONICA OAMC</w:t>
      </w:r>
    </w:p>
    <w:p w:rsidR="008F3E74" w:rsidRPr="00BF45BC" w:rsidRDefault="008F3E74" w:rsidP="00654A8F">
      <w:pPr>
        <w:spacing w:after="0"/>
        <w:jc w:val="left"/>
        <w:rPr>
          <w:sz w:val="20"/>
          <w:szCs w:val="20"/>
        </w:rPr>
      </w:pPr>
    </w:p>
    <w:p w:rsidR="00EA1A36" w:rsidRPr="00BF45BC" w:rsidRDefault="00EA1A36" w:rsidP="00654A8F">
      <w:pPr>
        <w:spacing w:after="0"/>
        <w:textAlignment w:val="baseline"/>
        <w:outlineLvl w:val="1"/>
        <w:rPr>
          <w:rFonts w:eastAsia="Times New Roman" w:cs="Times New Roman"/>
          <w:b/>
          <w:bCs/>
          <w:sz w:val="20"/>
          <w:szCs w:val="20"/>
          <w:lang w:eastAsia="es-ES"/>
        </w:rPr>
      </w:pPr>
      <w:r w:rsidRPr="00BF45BC">
        <w:rPr>
          <w:rFonts w:eastAsia="Times New Roman" w:cs="Times New Roman"/>
          <w:b/>
          <w:bCs/>
          <w:sz w:val="20"/>
          <w:szCs w:val="20"/>
          <w:lang w:eastAsia="es-ES"/>
        </w:rPr>
        <w:t>¿Cuándo y cómo debo facturar electrónicamente?</w:t>
      </w:r>
    </w:p>
    <w:p w:rsidR="00EA1A36" w:rsidRPr="00BF45BC" w:rsidRDefault="00EA1A36" w:rsidP="00654A8F">
      <w:pPr>
        <w:spacing w:after="0" w:line="224" w:lineRule="atLeast"/>
        <w:textAlignment w:val="baseline"/>
        <w:rPr>
          <w:rFonts w:eastAsia="Times New Roman" w:cs="Times New Roman"/>
          <w:color w:val="000000"/>
          <w:sz w:val="20"/>
          <w:szCs w:val="20"/>
          <w:lang w:eastAsia="es-ES"/>
        </w:rPr>
      </w:pPr>
      <w:r w:rsidRPr="00BF45BC">
        <w:rPr>
          <w:rFonts w:eastAsia="Times New Roman" w:cs="Times New Roman"/>
          <w:sz w:val="20"/>
          <w:szCs w:val="20"/>
          <w:lang w:eastAsia="es-ES"/>
        </w:rPr>
        <w:t>Los contratistas, que de acuerdo con lo previsto en el artículo 4 de la ley 25/2013, de 27 de diciembre, de Impulso de la Factura Electrónica y Creación del Registro Contable de Facturas en el Sector Público, est</w:t>
      </w:r>
      <w:r w:rsidR="00390119" w:rsidRPr="00BF45BC">
        <w:rPr>
          <w:rFonts w:eastAsia="Times New Roman" w:cs="Times New Roman"/>
          <w:sz w:val="20"/>
          <w:szCs w:val="20"/>
          <w:lang w:eastAsia="es-ES"/>
        </w:rPr>
        <w:t xml:space="preserve">án obligados desde el pasado </w:t>
      </w:r>
      <w:r w:rsidRPr="00BF45BC">
        <w:rPr>
          <w:rFonts w:eastAsia="Times New Roman" w:cs="Times New Roman"/>
          <w:sz w:val="20"/>
          <w:szCs w:val="20"/>
          <w:lang w:eastAsia="es-ES"/>
        </w:rPr>
        <w:t>15 de enero de 2015 a facturar electrónicamente las contraprestaciones objeto del contrato, lo harán ajustándose al formato estructurado de factura electrónica Facturae versión 3.2.x con firma electrónica XAdES, disponible en la</w:t>
      </w:r>
      <w:r w:rsidRPr="00BF45BC">
        <w:rPr>
          <w:rFonts w:eastAsia="Times New Roman" w:cs="Times New Roman"/>
          <w:color w:val="000000"/>
          <w:sz w:val="20"/>
          <w:szCs w:val="20"/>
          <w:lang w:eastAsia="es-ES"/>
        </w:rPr>
        <w:t> </w:t>
      </w:r>
      <w:hyperlink r:id="rId8" w:tgtFrame="_new" w:tooltip="Abre una nueva ventana" w:history="1">
        <w:r w:rsidRPr="00BF45BC">
          <w:rPr>
            <w:rFonts w:eastAsia="Times New Roman" w:cs="Times New Roman"/>
            <w:color w:val="006F8E"/>
            <w:sz w:val="20"/>
            <w:szCs w:val="20"/>
            <w:u w:val="single"/>
            <w:lang w:eastAsia="es-ES"/>
          </w:rPr>
          <w:t>www.facturae.gob.es</w:t>
        </w:r>
      </w:hyperlink>
      <w:r w:rsidR="00390119" w:rsidRPr="00BF45BC">
        <w:rPr>
          <w:rFonts w:eastAsia="Times New Roman" w:cs="Times New Roman"/>
          <w:color w:val="000000"/>
          <w:sz w:val="20"/>
          <w:szCs w:val="20"/>
          <w:lang w:eastAsia="es-ES"/>
        </w:rPr>
        <w:t xml:space="preserve"> </w:t>
      </w:r>
      <w:r w:rsidRPr="00BF45BC">
        <w:rPr>
          <w:rFonts w:eastAsia="Times New Roman" w:cs="Times New Roman"/>
          <w:color w:val="000000"/>
          <w:sz w:val="20"/>
          <w:szCs w:val="20"/>
          <w:lang w:eastAsia="es-ES"/>
        </w:rPr>
        <w:t>a través de la </w:t>
      </w:r>
      <w:r w:rsidRPr="00BF45BC">
        <w:rPr>
          <w:rFonts w:eastAsia="Times New Roman" w:cs="Times New Roman"/>
          <w:b/>
          <w:bCs/>
          <w:color w:val="000000"/>
          <w:sz w:val="20"/>
          <w:szCs w:val="20"/>
          <w:lang w:eastAsia="es-ES"/>
        </w:rPr>
        <w:t>Plataforma de Facturación Electrónica</w:t>
      </w:r>
      <w:r w:rsidRPr="00BF45BC">
        <w:rPr>
          <w:rFonts w:eastAsia="Times New Roman" w:cs="Times New Roman"/>
          <w:color w:val="000000"/>
          <w:sz w:val="20"/>
          <w:szCs w:val="20"/>
          <w:lang w:eastAsia="es-ES"/>
        </w:rPr>
        <w:t> disponible en </w:t>
      </w:r>
      <w:hyperlink r:id="rId9" w:tgtFrame="_new" w:tooltip="Abre una nueva ventana" w:history="1">
        <w:r w:rsidRPr="00BF45BC">
          <w:rPr>
            <w:rFonts w:eastAsia="Times New Roman" w:cs="Times New Roman"/>
            <w:color w:val="006F8E"/>
            <w:sz w:val="20"/>
            <w:szCs w:val="20"/>
            <w:u w:val="single"/>
            <w:lang w:eastAsia="es-ES"/>
          </w:rPr>
          <w:t>face.gob.es</w:t>
        </w:r>
      </w:hyperlink>
      <w:r w:rsidRPr="00BF45BC">
        <w:rPr>
          <w:rFonts w:eastAsia="Times New Roman" w:cs="Times New Roman"/>
          <w:color w:val="000000"/>
          <w:sz w:val="20"/>
          <w:szCs w:val="20"/>
          <w:lang w:eastAsia="es-ES"/>
        </w:rPr>
        <w:t>.</w:t>
      </w:r>
    </w:p>
    <w:p w:rsidR="00390119" w:rsidRPr="00BF45BC" w:rsidRDefault="00390119" w:rsidP="00654A8F">
      <w:pPr>
        <w:spacing w:after="0"/>
        <w:textAlignment w:val="baseline"/>
        <w:outlineLvl w:val="1"/>
        <w:rPr>
          <w:rFonts w:eastAsia="Times New Roman" w:cs="Times New Roman"/>
          <w:b/>
          <w:bCs/>
          <w:sz w:val="20"/>
          <w:szCs w:val="20"/>
          <w:lang w:eastAsia="es-ES"/>
        </w:rPr>
      </w:pPr>
    </w:p>
    <w:p w:rsidR="00EA1A36" w:rsidRDefault="00EA1A36" w:rsidP="00654A8F">
      <w:pPr>
        <w:spacing w:after="0"/>
        <w:textAlignment w:val="baseline"/>
        <w:outlineLvl w:val="1"/>
        <w:rPr>
          <w:rFonts w:eastAsia="Times New Roman" w:cs="Times New Roman"/>
          <w:b/>
          <w:bCs/>
          <w:sz w:val="20"/>
          <w:szCs w:val="20"/>
          <w:lang w:eastAsia="es-ES"/>
        </w:rPr>
      </w:pPr>
      <w:r w:rsidRPr="00BF45BC">
        <w:rPr>
          <w:rFonts w:eastAsia="Times New Roman" w:cs="Times New Roman"/>
          <w:b/>
          <w:bCs/>
          <w:sz w:val="20"/>
          <w:szCs w:val="20"/>
          <w:lang w:eastAsia="es-ES"/>
        </w:rPr>
        <w:t>¿Quién debe facturar electrónicamente?</w:t>
      </w:r>
    </w:p>
    <w:p w:rsidR="00F355E2" w:rsidRPr="00BF45BC" w:rsidRDefault="00F355E2" w:rsidP="00654A8F">
      <w:pPr>
        <w:spacing w:after="0"/>
        <w:textAlignment w:val="baseline"/>
        <w:outlineLvl w:val="1"/>
        <w:rPr>
          <w:rFonts w:eastAsia="Times New Roman" w:cs="Times New Roman"/>
          <w:b/>
          <w:bCs/>
          <w:sz w:val="20"/>
          <w:szCs w:val="20"/>
          <w:lang w:eastAsia="es-ES"/>
        </w:rPr>
      </w:pPr>
    </w:p>
    <w:p w:rsidR="00EA1A36" w:rsidRPr="00BF45BC" w:rsidRDefault="00EA1A36" w:rsidP="00654A8F">
      <w:pPr>
        <w:spacing w:after="0" w:line="224" w:lineRule="atLeast"/>
        <w:textAlignment w:val="baseline"/>
        <w:rPr>
          <w:rFonts w:eastAsia="Times New Roman" w:cs="Times New Roman"/>
          <w:color w:val="000000"/>
          <w:sz w:val="20"/>
          <w:szCs w:val="20"/>
          <w:lang w:eastAsia="es-ES"/>
        </w:rPr>
      </w:pPr>
      <w:r w:rsidRPr="00BF45BC">
        <w:rPr>
          <w:rFonts w:eastAsia="Times New Roman" w:cs="Times New Roman"/>
          <w:sz w:val="20"/>
          <w:szCs w:val="20"/>
          <w:lang w:eastAsia="es-ES"/>
        </w:rPr>
        <w:t>Estarán obligados a facturar electrónicamente, a través de la Plataforma de Facturación Electrónica disponible</w:t>
      </w:r>
      <w:r w:rsidRPr="00BF45BC">
        <w:rPr>
          <w:rFonts w:eastAsia="Times New Roman" w:cs="Times New Roman"/>
          <w:color w:val="000000"/>
          <w:sz w:val="20"/>
          <w:szCs w:val="20"/>
          <w:lang w:eastAsia="es-ES"/>
        </w:rPr>
        <w:t xml:space="preserve"> en</w:t>
      </w:r>
      <w:r w:rsidR="00FB217B" w:rsidRPr="00BF45BC">
        <w:rPr>
          <w:rFonts w:eastAsia="Times New Roman" w:cs="Times New Roman"/>
          <w:color w:val="000000"/>
          <w:sz w:val="20"/>
          <w:szCs w:val="20"/>
          <w:lang w:eastAsia="es-ES"/>
        </w:rPr>
        <w:t xml:space="preserve"> </w:t>
      </w:r>
      <w:hyperlink r:id="rId10" w:tgtFrame="_new" w:tooltip="Abre una nueva ventana" w:history="1">
        <w:r w:rsidRPr="00BF45BC">
          <w:rPr>
            <w:rFonts w:eastAsia="Times New Roman" w:cs="Times New Roman"/>
            <w:color w:val="006F8E"/>
            <w:sz w:val="20"/>
            <w:szCs w:val="20"/>
            <w:u w:val="single"/>
            <w:lang w:eastAsia="es-ES"/>
          </w:rPr>
          <w:t>face.gob.es</w:t>
        </w:r>
      </w:hyperlink>
      <w:r w:rsidRPr="00BF45BC">
        <w:rPr>
          <w:rFonts w:eastAsia="Times New Roman" w:cs="Times New Roman"/>
          <w:color w:val="000000"/>
          <w:sz w:val="20"/>
          <w:szCs w:val="20"/>
          <w:lang w:eastAsia="es-ES"/>
        </w:rPr>
        <w:t>, los proveedores de bienes o prestadores de servicios que se correspondan con alguna de las siguientes entidades:</w:t>
      </w:r>
    </w:p>
    <w:p w:rsidR="00FB217B" w:rsidRPr="00BF45BC" w:rsidRDefault="00FB217B" w:rsidP="00654A8F">
      <w:pPr>
        <w:spacing w:after="0" w:line="224" w:lineRule="atLeast"/>
        <w:textAlignment w:val="baseline"/>
        <w:rPr>
          <w:rFonts w:eastAsia="Times New Roman" w:cs="Times New Roman"/>
          <w:color w:val="000000"/>
          <w:sz w:val="20"/>
          <w:szCs w:val="20"/>
          <w:lang w:eastAsia="es-ES"/>
        </w:rPr>
      </w:pPr>
    </w:p>
    <w:p w:rsidR="00EA1A36" w:rsidRPr="00BF45BC" w:rsidRDefault="00EA1A36" w:rsidP="00654A8F">
      <w:pPr>
        <w:numPr>
          <w:ilvl w:val="0"/>
          <w:numId w:val="1"/>
        </w:numPr>
        <w:spacing w:after="0" w:line="224" w:lineRule="atLeast"/>
        <w:ind w:left="567"/>
        <w:jc w:val="left"/>
        <w:textAlignment w:val="baseline"/>
        <w:rPr>
          <w:rFonts w:eastAsia="Times New Roman" w:cs="Times New Roman"/>
          <w:color w:val="000000"/>
          <w:sz w:val="20"/>
          <w:szCs w:val="20"/>
          <w:lang w:eastAsia="es-ES"/>
        </w:rPr>
      </w:pPr>
      <w:r w:rsidRPr="00BF45BC">
        <w:rPr>
          <w:rFonts w:eastAsia="Times New Roman" w:cs="Times New Roman"/>
          <w:color w:val="000000"/>
          <w:sz w:val="20"/>
          <w:szCs w:val="20"/>
          <w:lang w:eastAsia="es-ES"/>
        </w:rPr>
        <w:t>Sociedades anónimas.</w:t>
      </w:r>
    </w:p>
    <w:p w:rsidR="00EA1A36" w:rsidRPr="00BF45BC" w:rsidRDefault="00EA1A36" w:rsidP="00654A8F">
      <w:pPr>
        <w:numPr>
          <w:ilvl w:val="0"/>
          <w:numId w:val="1"/>
        </w:numPr>
        <w:spacing w:after="0" w:line="224" w:lineRule="atLeast"/>
        <w:ind w:left="567"/>
        <w:jc w:val="left"/>
        <w:textAlignment w:val="baseline"/>
        <w:rPr>
          <w:rFonts w:eastAsia="Times New Roman" w:cs="Times New Roman"/>
          <w:color w:val="000000"/>
          <w:sz w:val="20"/>
          <w:szCs w:val="20"/>
          <w:lang w:eastAsia="es-ES"/>
        </w:rPr>
      </w:pPr>
      <w:r w:rsidRPr="00BF45BC">
        <w:rPr>
          <w:rFonts w:eastAsia="Times New Roman" w:cs="Times New Roman"/>
          <w:color w:val="000000"/>
          <w:sz w:val="20"/>
          <w:szCs w:val="20"/>
          <w:lang w:eastAsia="es-ES"/>
        </w:rPr>
        <w:t>Sociedades de responsabilidad limitada.</w:t>
      </w:r>
    </w:p>
    <w:p w:rsidR="00EA1A36" w:rsidRPr="00BF45BC" w:rsidRDefault="00EA1A36" w:rsidP="00654A8F">
      <w:pPr>
        <w:numPr>
          <w:ilvl w:val="0"/>
          <w:numId w:val="1"/>
        </w:numPr>
        <w:spacing w:after="0" w:line="224" w:lineRule="atLeast"/>
        <w:ind w:left="567"/>
        <w:jc w:val="left"/>
        <w:textAlignment w:val="baseline"/>
        <w:rPr>
          <w:rFonts w:eastAsia="Times New Roman" w:cs="Times New Roman"/>
          <w:color w:val="000000"/>
          <w:sz w:val="20"/>
          <w:szCs w:val="20"/>
          <w:lang w:eastAsia="es-ES"/>
        </w:rPr>
      </w:pPr>
      <w:r w:rsidRPr="00BF45BC">
        <w:rPr>
          <w:rFonts w:eastAsia="Times New Roman" w:cs="Times New Roman"/>
          <w:color w:val="000000"/>
          <w:sz w:val="20"/>
          <w:szCs w:val="20"/>
          <w:lang w:eastAsia="es-ES"/>
        </w:rPr>
        <w:t>Personas jurídicas y entidades sin personalidad jurídica que carezcan de nacionalidad española.</w:t>
      </w:r>
    </w:p>
    <w:p w:rsidR="00EA1A36" w:rsidRPr="00BF45BC" w:rsidRDefault="00EA1A36" w:rsidP="00654A8F">
      <w:pPr>
        <w:numPr>
          <w:ilvl w:val="0"/>
          <w:numId w:val="1"/>
        </w:numPr>
        <w:spacing w:after="0" w:line="224" w:lineRule="atLeast"/>
        <w:ind w:left="567"/>
        <w:jc w:val="left"/>
        <w:textAlignment w:val="baseline"/>
        <w:rPr>
          <w:rFonts w:eastAsia="Times New Roman" w:cs="Times New Roman"/>
          <w:color w:val="000000"/>
          <w:sz w:val="20"/>
          <w:szCs w:val="20"/>
          <w:lang w:eastAsia="es-ES"/>
        </w:rPr>
      </w:pPr>
      <w:r w:rsidRPr="00BF45BC">
        <w:rPr>
          <w:rFonts w:eastAsia="Times New Roman" w:cs="Times New Roman"/>
          <w:color w:val="000000"/>
          <w:sz w:val="20"/>
          <w:szCs w:val="20"/>
          <w:lang w:eastAsia="es-ES"/>
        </w:rPr>
        <w:t>Establecimientos permanentes y sucursales de entidades no residentes en territorio español en los términos que establece la normativa tributaria.</w:t>
      </w:r>
    </w:p>
    <w:p w:rsidR="00EA1A36" w:rsidRPr="00BF45BC" w:rsidRDefault="00EA1A36" w:rsidP="00654A8F">
      <w:pPr>
        <w:numPr>
          <w:ilvl w:val="0"/>
          <w:numId w:val="1"/>
        </w:numPr>
        <w:spacing w:after="0" w:line="224" w:lineRule="atLeast"/>
        <w:ind w:left="567"/>
        <w:jc w:val="left"/>
        <w:textAlignment w:val="baseline"/>
        <w:rPr>
          <w:rFonts w:eastAsia="Times New Roman" w:cs="Times New Roman"/>
          <w:color w:val="000000"/>
          <w:sz w:val="20"/>
          <w:szCs w:val="20"/>
          <w:lang w:eastAsia="es-ES"/>
        </w:rPr>
      </w:pPr>
      <w:r w:rsidRPr="00BF45BC">
        <w:rPr>
          <w:rFonts w:eastAsia="Times New Roman" w:cs="Times New Roman"/>
          <w:color w:val="000000"/>
          <w:sz w:val="20"/>
          <w:szCs w:val="20"/>
          <w:lang w:eastAsia="es-ES"/>
        </w:rPr>
        <w:t>Uniones temporales de empresas.</w:t>
      </w:r>
    </w:p>
    <w:p w:rsidR="00EA1A36" w:rsidRDefault="00EA1A36" w:rsidP="00654A8F">
      <w:pPr>
        <w:numPr>
          <w:ilvl w:val="0"/>
          <w:numId w:val="1"/>
        </w:numPr>
        <w:spacing w:after="0" w:line="224" w:lineRule="atLeast"/>
        <w:ind w:left="567"/>
        <w:jc w:val="left"/>
        <w:textAlignment w:val="baseline"/>
        <w:rPr>
          <w:rFonts w:eastAsia="Times New Roman" w:cs="Times New Roman"/>
          <w:color w:val="000000"/>
          <w:sz w:val="20"/>
          <w:szCs w:val="20"/>
          <w:lang w:eastAsia="es-ES"/>
        </w:rPr>
      </w:pPr>
      <w:r w:rsidRPr="00BF45BC">
        <w:rPr>
          <w:rFonts w:eastAsia="Times New Roman" w:cs="Times New Roman"/>
          <w:color w:val="000000"/>
          <w:sz w:val="20"/>
          <w:szCs w:val="20"/>
          <w:lang w:eastAsia="es-ES"/>
        </w:rPr>
        <w:t>Agrupación de interés económico, Agrupación de interés económico europea, Fondo de Pensiones, Fondo de capital riesgo, Fondo de inversiones, Fondo de utilización de activos, Fondo de regularización del mercado hipotecario, Fondo de titulización hipotecaria o Fondo de garantía de inversiones.</w:t>
      </w:r>
    </w:p>
    <w:p w:rsidR="00F355E2" w:rsidRPr="00BF45BC" w:rsidRDefault="00F355E2" w:rsidP="00862CA6">
      <w:pPr>
        <w:spacing w:after="0" w:line="224" w:lineRule="atLeast"/>
        <w:ind w:left="567"/>
        <w:jc w:val="left"/>
        <w:textAlignment w:val="baseline"/>
        <w:rPr>
          <w:rFonts w:eastAsia="Times New Roman" w:cs="Times New Roman"/>
          <w:color w:val="000000"/>
          <w:sz w:val="20"/>
          <w:szCs w:val="20"/>
          <w:lang w:eastAsia="es-ES"/>
        </w:rPr>
      </w:pPr>
    </w:p>
    <w:p w:rsidR="00EA1A36" w:rsidRDefault="00EA1A36" w:rsidP="00654A8F">
      <w:pPr>
        <w:spacing w:after="0"/>
        <w:textAlignment w:val="baseline"/>
        <w:outlineLvl w:val="1"/>
        <w:rPr>
          <w:rFonts w:eastAsia="Times New Roman" w:cs="Times New Roman"/>
          <w:b/>
          <w:bCs/>
          <w:sz w:val="20"/>
          <w:szCs w:val="20"/>
          <w:lang w:eastAsia="es-ES"/>
        </w:rPr>
      </w:pPr>
      <w:r w:rsidRPr="00BF45BC">
        <w:rPr>
          <w:rFonts w:eastAsia="Times New Roman" w:cs="Times New Roman"/>
          <w:b/>
          <w:bCs/>
          <w:sz w:val="20"/>
          <w:szCs w:val="20"/>
          <w:lang w:eastAsia="es-ES"/>
        </w:rPr>
        <w:t>¿Existe alguna exención a esta obligación?</w:t>
      </w:r>
    </w:p>
    <w:p w:rsidR="00654A8F" w:rsidRPr="00BF45BC" w:rsidRDefault="00654A8F" w:rsidP="00654A8F">
      <w:pPr>
        <w:spacing w:after="0"/>
        <w:textAlignment w:val="baseline"/>
        <w:outlineLvl w:val="1"/>
        <w:rPr>
          <w:rFonts w:eastAsia="Times New Roman" w:cs="Times New Roman"/>
          <w:b/>
          <w:bCs/>
          <w:sz w:val="20"/>
          <w:szCs w:val="20"/>
          <w:lang w:eastAsia="es-ES"/>
        </w:rPr>
      </w:pPr>
    </w:p>
    <w:p w:rsidR="00654A8F" w:rsidRDefault="00B861B4" w:rsidP="00654A8F">
      <w:pPr>
        <w:spacing w:after="0" w:line="224" w:lineRule="atLeast"/>
        <w:textAlignment w:val="baseline"/>
        <w:rPr>
          <w:rFonts w:eastAsia="Times New Roman" w:cs="Times New Roman"/>
          <w:sz w:val="20"/>
          <w:szCs w:val="20"/>
          <w:lang w:eastAsia="es-ES"/>
        </w:rPr>
      </w:pPr>
      <w:r>
        <w:rPr>
          <w:rFonts w:eastAsia="Times New Roman" w:cs="Times New Roman"/>
          <w:sz w:val="20"/>
          <w:szCs w:val="20"/>
          <w:lang w:eastAsia="es-ES"/>
        </w:rPr>
        <w:t>D</w:t>
      </w:r>
      <w:r w:rsidR="00FB217B" w:rsidRPr="00BF45BC">
        <w:rPr>
          <w:rFonts w:eastAsia="Times New Roman" w:cs="Times New Roman"/>
          <w:sz w:val="20"/>
          <w:szCs w:val="20"/>
          <w:lang w:eastAsia="es-ES"/>
        </w:rPr>
        <w:t xml:space="preserve">e conformidad con lo previsto en el apartado 1.a, in fine, de la Base 29ª de Ejecución del Presupuesto vigente del Excmo. Cabildo Insular de Tenerife, “los proveedores </w:t>
      </w:r>
      <w:r w:rsidR="00EC4E07" w:rsidRPr="00BF45BC">
        <w:rPr>
          <w:rFonts w:eastAsia="Times New Roman" w:cs="Times New Roman"/>
          <w:sz w:val="20"/>
          <w:szCs w:val="20"/>
          <w:lang w:eastAsia="es-ES"/>
        </w:rPr>
        <w:t>cuyas facturas sean inferiores a 5.000 € no están obligados a presentar factura electrónica” (según habilitación</w:t>
      </w:r>
      <w:r w:rsidR="00261C8D" w:rsidRPr="00BF45BC">
        <w:rPr>
          <w:rFonts w:eastAsia="Times New Roman" w:cs="Times New Roman"/>
          <w:sz w:val="20"/>
          <w:szCs w:val="20"/>
          <w:lang w:eastAsia="es-ES"/>
        </w:rPr>
        <w:t>,</w:t>
      </w:r>
      <w:r w:rsidR="00EC4E07" w:rsidRPr="00BF45BC">
        <w:rPr>
          <w:rFonts w:eastAsia="Times New Roman" w:cs="Times New Roman"/>
          <w:sz w:val="20"/>
          <w:szCs w:val="20"/>
          <w:lang w:eastAsia="es-ES"/>
        </w:rPr>
        <w:t xml:space="preserve"> prevista en </w:t>
      </w:r>
      <w:r w:rsidR="00261C8D" w:rsidRPr="00BF45BC">
        <w:rPr>
          <w:rFonts w:eastAsia="Times New Roman" w:cs="Times New Roman"/>
          <w:sz w:val="20"/>
          <w:szCs w:val="20"/>
          <w:lang w:eastAsia="es-ES"/>
        </w:rPr>
        <w:t xml:space="preserve">el artículo 4 de la Ley 25/2013, de 27 de diciembre, para que </w:t>
      </w:r>
      <w:r w:rsidR="00EA1A36" w:rsidRPr="00BF45BC">
        <w:rPr>
          <w:rFonts w:eastAsia="Times New Roman" w:cs="Times New Roman"/>
          <w:sz w:val="20"/>
          <w:szCs w:val="20"/>
          <w:lang w:eastAsia="es-ES"/>
        </w:rPr>
        <w:t>la Administración Insular a través de norma reglamentaria p</w:t>
      </w:r>
      <w:r w:rsidR="00261C8D" w:rsidRPr="00BF45BC">
        <w:rPr>
          <w:rFonts w:eastAsia="Times New Roman" w:cs="Times New Roman"/>
          <w:sz w:val="20"/>
          <w:szCs w:val="20"/>
          <w:lang w:eastAsia="es-ES"/>
        </w:rPr>
        <w:t>ueda establecer esta exención).</w:t>
      </w:r>
    </w:p>
    <w:p w:rsidR="00F355E2" w:rsidRDefault="00F355E2" w:rsidP="00654A8F">
      <w:pPr>
        <w:spacing w:after="0" w:line="224" w:lineRule="atLeast"/>
        <w:textAlignment w:val="baseline"/>
        <w:rPr>
          <w:rFonts w:eastAsia="Times New Roman" w:cs="Times New Roman"/>
          <w:sz w:val="20"/>
          <w:szCs w:val="20"/>
          <w:lang w:eastAsia="es-ES"/>
        </w:rPr>
      </w:pPr>
    </w:p>
    <w:p w:rsidR="00654A8F" w:rsidRDefault="00EA1A36" w:rsidP="00654A8F">
      <w:pPr>
        <w:spacing w:after="0" w:line="224" w:lineRule="atLeast"/>
        <w:textAlignment w:val="baseline"/>
        <w:rPr>
          <w:rFonts w:eastAsia="Times New Roman" w:cs="Times New Roman"/>
          <w:b/>
          <w:bCs/>
          <w:sz w:val="20"/>
          <w:szCs w:val="20"/>
          <w:lang w:eastAsia="es-ES"/>
        </w:rPr>
      </w:pPr>
      <w:r w:rsidRPr="00BF45BC">
        <w:rPr>
          <w:rFonts w:eastAsia="Times New Roman" w:cs="Times New Roman"/>
          <w:b/>
          <w:bCs/>
          <w:sz w:val="20"/>
          <w:szCs w:val="20"/>
          <w:lang w:eastAsia="es-ES"/>
        </w:rPr>
        <w:t>¿Qué debo reflejar en la factura?</w:t>
      </w:r>
    </w:p>
    <w:p w:rsidR="00654A8F" w:rsidRDefault="00654A8F" w:rsidP="00654A8F">
      <w:pPr>
        <w:spacing w:after="0" w:line="224" w:lineRule="atLeast"/>
        <w:textAlignment w:val="baseline"/>
        <w:rPr>
          <w:rFonts w:eastAsia="Times New Roman" w:cs="Times New Roman"/>
          <w:b/>
          <w:bCs/>
          <w:sz w:val="20"/>
          <w:szCs w:val="20"/>
          <w:lang w:eastAsia="es-ES"/>
        </w:rPr>
      </w:pPr>
    </w:p>
    <w:p w:rsidR="00BF45BC" w:rsidRDefault="00EA1A36" w:rsidP="00654A8F">
      <w:pPr>
        <w:spacing w:after="0" w:line="224" w:lineRule="atLeast"/>
        <w:textAlignment w:val="baseline"/>
        <w:rPr>
          <w:rFonts w:eastAsia="Times New Roman" w:cs="Times New Roman"/>
          <w:color w:val="000000"/>
          <w:sz w:val="20"/>
          <w:szCs w:val="20"/>
          <w:lang w:eastAsia="es-ES"/>
        </w:rPr>
      </w:pPr>
      <w:r w:rsidRPr="00654A8F">
        <w:rPr>
          <w:rFonts w:eastAsia="Times New Roman" w:cs="Times New Roman"/>
          <w:color w:val="000000" w:themeColor="text1"/>
          <w:sz w:val="20"/>
          <w:szCs w:val="20"/>
          <w:lang w:eastAsia="es-ES"/>
        </w:rPr>
        <w:t>Al margen del contenido establecido como obligatorio por el Real Decreto 1619/2012, de 30 de noviembre, por el que se aprueba el Reglamento por el que se regulan las obligaciones de facturación, el contratista en todas las facturas que se expidan por la entrega de bienes o prestación de servicios, tanto las emitidas en soporte papel como las electrónicas (obligatoria a partir del 15 de enero de 2015), deberá hacer constar en las mismas </w:t>
      </w:r>
      <w:r w:rsidRPr="00654A8F">
        <w:rPr>
          <w:rFonts w:eastAsia="Times New Roman" w:cs="Times New Roman"/>
          <w:b/>
          <w:bCs/>
          <w:color w:val="000000" w:themeColor="text1"/>
          <w:sz w:val="20"/>
          <w:szCs w:val="20"/>
          <w:lang w:eastAsia="es-ES"/>
        </w:rPr>
        <w:t>la identificación</w:t>
      </w:r>
      <w:r w:rsidRPr="00654A8F">
        <w:rPr>
          <w:rFonts w:eastAsia="Times New Roman" w:cs="Times New Roman"/>
          <w:color w:val="000000" w:themeColor="text1"/>
          <w:sz w:val="20"/>
          <w:szCs w:val="20"/>
          <w:lang w:eastAsia="es-ES"/>
        </w:rPr>
        <w:t> del órgano gestor, de la unidad tramitadora y de la oficina contable, con indicación de los correspondientes códigos de acuerdo con los Códigos DIR3 (Directorio Común</w:t>
      </w:r>
      <w:r w:rsidRPr="00BF45BC">
        <w:rPr>
          <w:rFonts w:eastAsia="Times New Roman" w:cs="Times New Roman"/>
          <w:color w:val="000000"/>
          <w:sz w:val="20"/>
          <w:szCs w:val="20"/>
          <w:lang w:eastAsia="es-ES"/>
        </w:rPr>
        <w:t xml:space="preserve"> de Unidades y Oficinas )</w:t>
      </w:r>
      <w:r w:rsidR="00BF45BC" w:rsidRPr="00BF45BC">
        <w:rPr>
          <w:rFonts w:eastAsia="Times New Roman" w:cs="Times New Roman"/>
          <w:color w:val="000000"/>
          <w:sz w:val="20"/>
          <w:szCs w:val="20"/>
          <w:lang w:eastAsia="es-ES"/>
        </w:rPr>
        <w:t>.</w:t>
      </w:r>
    </w:p>
    <w:p w:rsidR="00654A8F" w:rsidRPr="00BF45BC" w:rsidRDefault="00654A8F" w:rsidP="00654A8F">
      <w:pPr>
        <w:spacing w:after="0" w:line="224" w:lineRule="atLeast"/>
        <w:textAlignment w:val="baseline"/>
        <w:rPr>
          <w:rFonts w:eastAsia="Times New Roman" w:cs="Times New Roman"/>
          <w:color w:val="000000"/>
          <w:sz w:val="20"/>
          <w:szCs w:val="20"/>
          <w:lang w:eastAsia="es-ES"/>
        </w:rPr>
      </w:pPr>
    </w:p>
    <w:p w:rsidR="003773BA" w:rsidRDefault="00BF45BC" w:rsidP="00654A8F">
      <w:pPr>
        <w:shd w:val="clear" w:color="auto" w:fill="FFFFFF"/>
        <w:spacing w:after="0" w:line="224" w:lineRule="atLeast"/>
        <w:textAlignment w:val="baseline"/>
        <w:rPr>
          <w:rFonts w:eastAsia="Times New Roman" w:cs="Times New Roman"/>
          <w:bCs/>
          <w:color w:val="000000"/>
          <w:sz w:val="20"/>
          <w:szCs w:val="20"/>
          <w:lang w:eastAsia="es-ES"/>
        </w:rPr>
      </w:pPr>
      <w:r w:rsidRPr="00BF45BC">
        <w:rPr>
          <w:rFonts w:eastAsia="Times New Roman" w:cs="Times New Roman"/>
          <w:color w:val="000000"/>
          <w:sz w:val="20"/>
          <w:szCs w:val="20"/>
          <w:lang w:eastAsia="es-ES"/>
        </w:rPr>
        <w:t xml:space="preserve"> </w:t>
      </w:r>
      <w:r w:rsidR="003773BA" w:rsidRPr="00BF45BC">
        <w:rPr>
          <w:rFonts w:eastAsia="Times New Roman" w:cs="Times New Roman"/>
          <w:b/>
          <w:bCs/>
          <w:color w:val="000000"/>
          <w:sz w:val="20"/>
          <w:szCs w:val="20"/>
          <w:lang w:eastAsia="es-ES"/>
        </w:rPr>
        <w:t>Códigos DIR3</w:t>
      </w:r>
      <w:r w:rsidR="003773BA" w:rsidRPr="00BF45BC">
        <w:rPr>
          <w:rFonts w:eastAsia="Times New Roman" w:cs="Times New Roman"/>
          <w:color w:val="000000"/>
          <w:sz w:val="20"/>
          <w:szCs w:val="20"/>
          <w:lang w:eastAsia="es-ES"/>
        </w:rPr>
        <w:t xml:space="preserve"> de los órganos del </w:t>
      </w:r>
      <w:r w:rsidR="003773BA" w:rsidRPr="00BF45BC">
        <w:rPr>
          <w:rFonts w:eastAsia="Times New Roman" w:cs="Times New Roman"/>
          <w:bCs/>
          <w:color w:val="000000"/>
          <w:sz w:val="20"/>
          <w:szCs w:val="20"/>
          <w:lang w:eastAsia="es-ES"/>
        </w:rPr>
        <w:t>OAMC</w:t>
      </w:r>
    </w:p>
    <w:p w:rsidR="00654A8F" w:rsidRPr="00BF45BC" w:rsidRDefault="00654A8F" w:rsidP="00654A8F">
      <w:pPr>
        <w:shd w:val="clear" w:color="auto" w:fill="FFFFFF"/>
        <w:spacing w:after="0" w:line="224" w:lineRule="atLeast"/>
        <w:textAlignment w:val="baseline"/>
        <w:rPr>
          <w:sz w:val="20"/>
          <w:szCs w:val="20"/>
        </w:rPr>
      </w:pPr>
    </w:p>
    <w:tbl>
      <w:tblPr>
        <w:tblStyle w:val="Tablaconcuadrcula"/>
        <w:tblW w:w="0" w:type="auto"/>
        <w:tblLook w:val="04A0"/>
      </w:tblPr>
      <w:tblGrid>
        <w:gridCol w:w="1809"/>
        <w:gridCol w:w="1277"/>
        <w:gridCol w:w="1418"/>
        <w:gridCol w:w="1416"/>
        <w:gridCol w:w="1701"/>
        <w:gridCol w:w="1276"/>
      </w:tblGrid>
      <w:tr w:rsidR="003773BA" w:rsidRPr="00BF45BC" w:rsidTr="00F355E2">
        <w:tc>
          <w:tcPr>
            <w:tcW w:w="1809" w:type="dxa"/>
            <w:shd w:val="pct10" w:color="auto" w:fill="auto"/>
            <w:vAlign w:val="center"/>
          </w:tcPr>
          <w:p w:rsidR="003A553B" w:rsidRPr="00F355E2" w:rsidRDefault="003773BA" w:rsidP="00654A8F">
            <w:pPr>
              <w:jc w:val="center"/>
              <w:rPr>
                <w:sz w:val="18"/>
                <w:szCs w:val="18"/>
              </w:rPr>
            </w:pPr>
            <w:r w:rsidRPr="00F355E2">
              <w:rPr>
                <w:sz w:val="18"/>
                <w:szCs w:val="18"/>
              </w:rPr>
              <w:t>Denominación</w:t>
            </w:r>
          </w:p>
          <w:p w:rsidR="003773BA" w:rsidRPr="00F355E2" w:rsidRDefault="003773BA" w:rsidP="00654A8F">
            <w:pPr>
              <w:jc w:val="center"/>
              <w:rPr>
                <w:sz w:val="18"/>
                <w:szCs w:val="18"/>
              </w:rPr>
            </w:pPr>
            <w:r w:rsidRPr="00F355E2">
              <w:rPr>
                <w:sz w:val="18"/>
                <w:szCs w:val="18"/>
              </w:rPr>
              <w:t>Oficina Contable</w:t>
            </w:r>
          </w:p>
        </w:tc>
        <w:tc>
          <w:tcPr>
            <w:tcW w:w="1277" w:type="dxa"/>
            <w:shd w:val="pct10" w:color="auto" w:fill="auto"/>
            <w:vAlign w:val="center"/>
          </w:tcPr>
          <w:p w:rsidR="003773BA" w:rsidRPr="00F355E2" w:rsidRDefault="003773BA" w:rsidP="00654A8F">
            <w:pPr>
              <w:jc w:val="center"/>
              <w:rPr>
                <w:sz w:val="18"/>
                <w:szCs w:val="18"/>
              </w:rPr>
            </w:pPr>
            <w:r w:rsidRPr="00F355E2">
              <w:rPr>
                <w:rFonts w:eastAsia="Times New Roman" w:cs="Times New Roman"/>
                <w:bCs/>
                <w:color w:val="000000"/>
                <w:sz w:val="18"/>
                <w:szCs w:val="18"/>
                <w:lang w:eastAsia="es-ES"/>
              </w:rPr>
              <w:t>Código DIR3</w:t>
            </w:r>
          </w:p>
        </w:tc>
        <w:tc>
          <w:tcPr>
            <w:tcW w:w="1418" w:type="dxa"/>
            <w:shd w:val="pct10" w:color="auto" w:fill="auto"/>
            <w:vAlign w:val="center"/>
          </w:tcPr>
          <w:p w:rsidR="003773BA" w:rsidRPr="00F355E2" w:rsidRDefault="003773BA" w:rsidP="00654A8F">
            <w:pPr>
              <w:jc w:val="center"/>
              <w:rPr>
                <w:sz w:val="18"/>
                <w:szCs w:val="18"/>
              </w:rPr>
            </w:pPr>
            <w:r w:rsidRPr="00F355E2">
              <w:rPr>
                <w:sz w:val="18"/>
                <w:szCs w:val="18"/>
              </w:rPr>
              <w:t>Denominación</w:t>
            </w:r>
          </w:p>
          <w:p w:rsidR="003773BA" w:rsidRPr="00F355E2" w:rsidRDefault="003773BA" w:rsidP="00654A8F">
            <w:pPr>
              <w:jc w:val="center"/>
              <w:rPr>
                <w:sz w:val="18"/>
                <w:szCs w:val="18"/>
              </w:rPr>
            </w:pPr>
            <w:r w:rsidRPr="00F355E2">
              <w:rPr>
                <w:sz w:val="18"/>
                <w:szCs w:val="18"/>
              </w:rPr>
              <w:t>órgano Gestor</w:t>
            </w:r>
          </w:p>
        </w:tc>
        <w:tc>
          <w:tcPr>
            <w:tcW w:w="1416" w:type="dxa"/>
            <w:shd w:val="pct10" w:color="auto" w:fill="auto"/>
            <w:vAlign w:val="center"/>
          </w:tcPr>
          <w:p w:rsidR="003773BA" w:rsidRPr="00F355E2" w:rsidRDefault="003773BA" w:rsidP="00654A8F">
            <w:pPr>
              <w:jc w:val="center"/>
              <w:rPr>
                <w:color w:val="000000" w:themeColor="text1"/>
                <w:sz w:val="18"/>
                <w:szCs w:val="18"/>
              </w:rPr>
            </w:pPr>
            <w:r w:rsidRPr="00F355E2">
              <w:rPr>
                <w:color w:val="000000" w:themeColor="text1"/>
                <w:sz w:val="18"/>
                <w:szCs w:val="18"/>
              </w:rPr>
              <w:t xml:space="preserve">Código DIR32 </w:t>
            </w:r>
          </w:p>
        </w:tc>
        <w:tc>
          <w:tcPr>
            <w:tcW w:w="1701" w:type="dxa"/>
            <w:shd w:val="pct10" w:color="auto" w:fill="auto"/>
            <w:vAlign w:val="center"/>
          </w:tcPr>
          <w:p w:rsidR="003773BA" w:rsidRPr="00F355E2" w:rsidRDefault="003773BA" w:rsidP="00654A8F">
            <w:pPr>
              <w:jc w:val="center"/>
              <w:rPr>
                <w:color w:val="000000" w:themeColor="text1"/>
                <w:sz w:val="18"/>
                <w:szCs w:val="18"/>
              </w:rPr>
            </w:pPr>
            <w:r w:rsidRPr="00F355E2">
              <w:rPr>
                <w:color w:val="000000" w:themeColor="text1"/>
                <w:sz w:val="18"/>
                <w:szCs w:val="18"/>
              </w:rPr>
              <w:t>Denominación</w:t>
            </w:r>
          </w:p>
          <w:p w:rsidR="003773BA" w:rsidRPr="00F355E2" w:rsidRDefault="003A553B" w:rsidP="00654A8F">
            <w:pPr>
              <w:jc w:val="center"/>
              <w:rPr>
                <w:color w:val="000000" w:themeColor="text1"/>
                <w:sz w:val="18"/>
                <w:szCs w:val="18"/>
              </w:rPr>
            </w:pPr>
            <w:r w:rsidRPr="00F355E2">
              <w:rPr>
                <w:color w:val="000000" w:themeColor="text1"/>
                <w:sz w:val="18"/>
                <w:szCs w:val="18"/>
              </w:rPr>
              <w:t xml:space="preserve">Unidad </w:t>
            </w:r>
            <w:r w:rsidR="003773BA" w:rsidRPr="00F355E2">
              <w:rPr>
                <w:color w:val="000000" w:themeColor="text1"/>
                <w:sz w:val="18"/>
                <w:szCs w:val="18"/>
              </w:rPr>
              <w:t>ramitadora</w:t>
            </w:r>
          </w:p>
        </w:tc>
        <w:tc>
          <w:tcPr>
            <w:tcW w:w="1276" w:type="dxa"/>
            <w:shd w:val="pct10" w:color="auto" w:fill="auto"/>
            <w:vAlign w:val="center"/>
          </w:tcPr>
          <w:p w:rsidR="003773BA" w:rsidRPr="00F355E2" w:rsidRDefault="003773BA" w:rsidP="00654A8F">
            <w:pPr>
              <w:jc w:val="center"/>
              <w:rPr>
                <w:color w:val="000000" w:themeColor="text1"/>
                <w:sz w:val="18"/>
                <w:szCs w:val="18"/>
              </w:rPr>
            </w:pPr>
            <w:r w:rsidRPr="00F355E2">
              <w:rPr>
                <w:color w:val="000000" w:themeColor="text1"/>
                <w:sz w:val="18"/>
                <w:szCs w:val="18"/>
              </w:rPr>
              <w:t>Código DIR33</w:t>
            </w:r>
          </w:p>
        </w:tc>
      </w:tr>
      <w:tr w:rsidR="003773BA" w:rsidRPr="00BF45BC" w:rsidTr="00F355E2">
        <w:trPr>
          <w:trHeight w:val="435"/>
        </w:trPr>
        <w:tc>
          <w:tcPr>
            <w:tcW w:w="1809" w:type="dxa"/>
            <w:vAlign w:val="center"/>
          </w:tcPr>
          <w:p w:rsidR="003773BA" w:rsidRPr="00F355E2" w:rsidRDefault="003A553B" w:rsidP="00654A8F">
            <w:pPr>
              <w:jc w:val="center"/>
              <w:rPr>
                <w:sz w:val="18"/>
                <w:szCs w:val="18"/>
              </w:rPr>
            </w:pPr>
            <w:r w:rsidRPr="00F355E2">
              <w:rPr>
                <w:sz w:val="18"/>
                <w:szCs w:val="18"/>
              </w:rPr>
              <w:t>Gestión Económica</w:t>
            </w:r>
          </w:p>
        </w:tc>
        <w:tc>
          <w:tcPr>
            <w:tcW w:w="1277" w:type="dxa"/>
            <w:vAlign w:val="center"/>
          </w:tcPr>
          <w:p w:rsidR="003773BA" w:rsidRPr="00F355E2" w:rsidRDefault="003A553B" w:rsidP="00654A8F">
            <w:pPr>
              <w:jc w:val="center"/>
              <w:rPr>
                <w:sz w:val="18"/>
                <w:szCs w:val="18"/>
              </w:rPr>
            </w:pPr>
            <w:r w:rsidRPr="00F355E2">
              <w:rPr>
                <w:sz w:val="18"/>
                <w:szCs w:val="18"/>
              </w:rPr>
              <w:t>LA0005095</w:t>
            </w:r>
          </w:p>
        </w:tc>
        <w:tc>
          <w:tcPr>
            <w:tcW w:w="1418" w:type="dxa"/>
            <w:vAlign w:val="center"/>
          </w:tcPr>
          <w:p w:rsidR="003773BA" w:rsidRPr="00F355E2" w:rsidRDefault="00BF45BC" w:rsidP="00654A8F">
            <w:pPr>
              <w:jc w:val="center"/>
              <w:rPr>
                <w:sz w:val="18"/>
                <w:szCs w:val="18"/>
              </w:rPr>
            </w:pPr>
            <w:r w:rsidRPr="00F355E2">
              <w:rPr>
                <w:sz w:val="18"/>
                <w:szCs w:val="18"/>
              </w:rPr>
              <w:t>órgano Gestor</w:t>
            </w:r>
          </w:p>
        </w:tc>
        <w:tc>
          <w:tcPr>
            <w:tcW w:w="1416" w:type="dxa"/>
            <w:vAlign w:val="center"/>
          </w:tcPr>
          <w:p w:rsidR="003773BA" w:rsidRPr="00F355E2" w:rsidRDefault="003A553B" w:rsidP="00654A8F">
            <w:pPr>
              <w:jc w:val="center"/>
              <w:rPr>
                <w:sz w:val="18"/>
                <w:szCs w:val="18"/>
              </w:rPr>
            </w:pPr>
            <w:r w:rsidRPr="00F355E2">
              <w:rPr>
                <w:sz w:val="18"/>
                <w:szCs w:val="18"/>
              </w:rPr>
              <w:t>LA0000127</w:t>
            </w:r>
          </w:p>
        </w:tc>
        <w:tc>
          <w:tcPr>
            <w:tcW w:w="1701" w:type="dxa"/>
            <w:vAlign w:val="center"/>
          </w:tcPr>
          <w:p w:rsidR="003773BA" w:rsidRPr="00F355E2" w:rsidRDefault="00BF45BC" w:rsidP="00654A8F">
            <w:pPr>
              <w:jc w:val="center"/>
              <w:rPr>
                <w:sz w:val="18"/>
                <w:szCs w:val="18"/>
              </w:rPr>
            </w:pPr>
            <w:r w:rsidRPr="00F355E2">
              <w:rPr>
                <w:sz w:val="18"/>
                <w:szCs w:val="18"/>
              </w:rPr>
              <w:t>Unidad Tramitadora</w:t>
            </w:r>
          </w:p>
        </w:tc>
        <w:tc>
          <w:tcPr>
            <w:tcW w:w="1276" w:type="dxa"/>
            <w:vAlign w:val="center"/>
          </w:tcPr>
          <w:p w:rsidR="003773BA" w:rsidRPr="00F355E2" w:rsidRDefault="003A553B" w:rsidP="00654A8F">
            <w:pPr>
              <w:jc w:val="center"/>
              <w:rPr>
                <w:sz w:val="18"/>
                <w:szCs w:val="18"/>
              </w:rPr>
            </w:pPr>
            <w:r w:rsidRPr="00F355E2">
              <w:rPr>
                <w:sz w:val="18"/>
                <w:szCs w:val="18"/>
              </w:rPr>
              <w:t>LA0005096</w:t>
            </w:r>
          </w:p>
        </w:tc>
      </w:tr>
    </w:tbl>
    <w:p w:rsidR="00654A8F" w:rsidRDefault="00654A8F" w:rsidP="00F355E2"/>
    <w:sectPr w:rsidR="00654A8F" w:rsidSect="00573AB9">
      <w:headerReference w:type="default" r:id="rId11"/>
      <w:footerReference w:type="default" r:id="rId12"/>
      <w:type w:val="continuous"/>
      <w:pgSz w:w="11906" w:h="16838" w:code="9"/>
      <w:pgMar w:top="3119" w:right="1134" w:bottom="1418" w:left="1701"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B5E" w:rsidRDefault="00643B5E" w:rsidP="00C12C5C">
      <w:pPr>
        <w:spacing w:after="0"/>
      </w:pPr>
      <w:r>
        <w:separator/>
      </w:r>
    </w:p>
  </w:endnote>
  <w:endnote w:type="continuationSeparator" w:id="0">
    <w:p w:rsidR="00643B5E" w:rsidRDefault="00643B5E" w:rsidP="00C12C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E07" w:rsidRDefault="00EC4E07" w:rsidP="003D49A6">
    <w:pPr>
      <w:pStyle w:val="Piedepgina"/>
      <w:jc w:val="center"/>
    </w:pPr>
    <w:r>
      <w:rPr>
        <w:noProof/>
        <w:lang w:eastAsia="es-ES"/>
      </w:rPr>
      <w:drawing>
        <wp:inline distT="0" distB="0" distL="0" distR="0">
          <wp:extent cx="5760085" cy="135890"/>
          <wp:effectExtent l="19050" t="0" r="0" b="0"/>
          <wp:docPr id="2" name="1 Imagen" descr="dirección imagen df_Layou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ción imagen df_Layout 1.jpg"/>
                  <pic:cNvPicPr/>
                </pic:nvPicPr>
                <pic:blipFill>
                  <a:blip r:embed="rId1"/>
                  <a:stretch>
                    <a:fillRect/>
                  </a:stretch>
                </pic:blipFill>
                <pic:spPr>
                  <a:xfrm>
                    <a:off x="0" y="0"/>
                    <a:ext cx="5760085" cy="1358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B5E" w:rsidRDefault="00643B5E" w:rsidP="00C12C5C">
      <w:pPr>
        <w:spacing w:after="0"/>
      </w:pPr>
      <w:r>
        <w:separator/>
      </w:r>
    </w:p>
  </w:footnote>
  <w:footnote w:type="continuationSeparator" w:id="0">
    <w:p w:rsidR="00643B5E" w:rsidRDefault="00643B5E" w:rsidP="00C12C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E07" w:rsidRDefault="00EC4E07">
    <w:pPr>
      <w:pStyle w:val="Encabezado"/>
    </w:pPr>
    <w:r>
      <w:rPr>
        <w:noProof/>
        <w:lang w:eastAsia="es-ES"/>
      </w:rPr>
      <w:drawing>
        <wp:inline distT="0" distB="0" distL="0" distR="0">
          <wp:extent cx="1980000" cy="648409"/>
          <wp:effectExtent l="19050" t="0" r="1200" b="0"/>
          <wp:docPr id="1" name="0 Imagen" descr="museo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osOK.jpg"/>
                  <pic:cNvPicPr/>
                </pic:nvPicPr>
                <pic:blipFill>
                  <a:blip r:embed="rId1"/>
                  <a:stretch>
                    <a:fillRect/>
                  </a:stretch>
                </pic:blipFill>
                <pic:spPr>
                  <a:xfrm>
                    <a:off x="0" y="0"/>
                    <a:ext cx="1980000" cy="64840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046E0"/>
    <w:multiLevelType w:val="multilevel"/>
    <w:tmpl w:val="72A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C221C7"/>
    <w:multiLevelType w:val="hybridMultilevel"/>
    <w:tmpl w:val="3E00144C"/>
    <w:lvl w:ilvl="0" w:tplc="02E6B390">
      <w:numFmt w:val="bullet"/>
      <w:lvlText w:val="-"/>
      <w:lvlJc w:val="left"/>
      <w:pPr>
        <w:ind w:left="720" w:hanging="360"/>
      </w:pPr>
      <w:rPr>
        <w:rFonts w:ascii="Calibri" w:eastAsia="Times New Roman" w:hAnsi="Calibri"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0F7537"/>
    <w:multiLevelType w:val="multilevel"/>
    <w:tmpl w:val="E8C6734E"/>
    <w:lvl w:ilvl="0">
      <w:start w:val="1"/>
      <w:numFmt w:val="bullet"/>
      <w:lvlText w:val=""/>
      <w:lvlJc w:val="left"/>
      <w:pPr>
        <w:tabs>
          <w:tab w:val="num" w:pos="1800"/>
        </w:tabs>
        <w:ind w:left="1800" w:hanging="360"/>
      </w:pPr>
      <w:rPr>
        <w:rFonts w:ascii="Symbol" w:hAnsi="Symbol" w:hint="default"/>
        <w:sz w:val="16"/>
        <w:szCs w:val="16"/>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49911432"/>
    <w:multiLevelType w:val="multilevel"/>
    <w:tmpl w:val="EACC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cumentProtection w:edit="forms" w:enforcement="0"/>
  <w:styleLockTheme/>
  <w:styleLockQFSet/>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rsids>
    <w:rsidRoot w:val="00EA1A36"/>
    <w:rsid w:val="00022841"/>
    <w:rsid w:val="00044E9A"/>
    <w:rsid w:val="00091D09"/>
    <w:rsid w:val="00093D3E"/>
    <w:rsid w:val="000A0D40"/>
    <w:rsid w:val="000E54B4"/>
    <w:rsid w:val="00110B72"/>
    <w:rsid w:val="00111B1F"/>
    <w:rsid w:val="001327BF"/>
    <w:rsid w:val="00171650"/>
    <w:rsid w:val="001A789D"/>
    <w:rsid w:val="001E224F"/>
    <w:rsid w:val="001E7946"/>
    <w:rsid w:val="001F1260"/>
    <w:rsid w:val="001F28D6"/>
    <w:rsid w:val="00261C8D"/>
    <w:rsid w:val="0028040F"/>
    <w:rsid w:val="00282AE2"/>
    <w:rsid w:val="00296868"/>
    <w:rsid w:val="002E15D4"/>
    <w:rsid w:val="003773BA"/>
    <w:rsid w:val="00390119"/>
    <w:rsid w:val="00390B73"/>
    <w:rsid w:val="003A3F75"/>
    <w:rsid w:val="003A553B"/>
    <w:rsid w:val="003D49A6"/>
    <w:rsid w:val="00412F58"/>
    <w:rsid w:val="0048145C"/>
    <w:rsid w:val="004D0433"/>
    <w:rsid w:val="00514FF9"/>
    <w:rsid w:val="00523E57"/>
    <w:rsid w:val="00543C54"/>
    <w:rsid w:val="00562259"/>
    <w:rsid w:val="00573AB9"/>
    <w:rsid w:val="00590E2B"/>
    <w:rsid w:val="005D5F3B"/>
    <w:rsid w:val="005E0E7A"/>
    <w:rsid w:val="0060010D"/>
    <w:rsid w:val="0061273A"/>
    <w:rsid w:val="00636FEE"/>
    <w:rsid w:val="006423D0"/>
    <w:rsid w:val="00643426"/>
    <w:rsid w:val="00643B5E"/>
    <w:rsid w:val="00654A8F"/>
    <w:rsid w:val="006A0D49"/>
    <w:rsid w:val="006F7968"/>
    <w:rsid w:val="007F0B0A"/>
    <w:rsid w:val="007F65C2"/>
    <w:rsid w:val="007F6985"/>
    <w:rsid w:val="00824E40"/>
    <w:rsid w:val="0085356A"/>
    <w:rsid w:val="00862CA6"/>
    <w:rsid w:val="008B21A3"/>
    <w:rsid w:val="008F3E74"/>
    <w:rsid w:val="0090082B"/>
    <w:rsid w:val="009069C9"/>
    <w:rsid w:val="009224AF"/>
    <w:rsid w:val="00927B45"/>
    <w:rsid w:val="00937577"/>
    <w:rsid w:val="00A02A54"/>
    <w:rsid w:val="00A151EC"/>
    <w:rsid w:val="00A53CA4"/>
    <w:rsid w:val="00A8632B"/>
    <w:rsid w:val="00A94481"/>
    <w:rsid w:val="00AB7127"/>
    <w:rsid w:val="00AE1286"/>
    <w:rsid w:val="00B04C39"/>
    <w:rsid w:val="00B72CB0"/>
    <w:rsid w:val="00B861B4"/>
    <w:rsid w:val="00BA1C0A"/>
    <w:rsid w:val="00BA299E"/>
    <w:rsid w:val="00BF45BC"/>
    <w:rsid w:val="00C11E4D"/>
    <w:rsid w:val="00C12C5C"/>
    <w:rsid w:val="00C22DBE"/>
    <w:rsid w:val="00C245CF"/>
    <w:rsid w:val="00C768E9"/>
    <w:rsid w:val="00CC2CDD"/>
    <w:rsid w:val="00CC418A"/>
    <w:rsid w:val="00D321AB"/>
    <w:rsid w:val="00DA5A21"/>
    <w:rsid w:val="00DE0FED"/>
    <w:rsid w:val="00E237AA"/>
    <w:rsid w:val="00E32B5D"/>
    <w:rsid w:val="00E364B7"/>
    <w:rsid w:val="00E54D76"/>
    <w:rsid w:val="00E8795D"/>
    <w:rsid w:val="00EA1A36"/>
    <w:rsid w:val="00EB1B9C"/>
    <w:rsid w:val="00EC4E07"/>
    <w:rsid w:val="00EF3982"/>
    <w:rsid w:val="00F152BD"/>
    <w:rsid w:val="00F355E2"/>
    <w:rsid w:val="00F70E4B"/>
    <w:rsid w:val="00FB217B"/>
    <w:rsid w:val="00FC7562"/>
    <w:rsid w:val="00FE0C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D09"/>
    <w:pPr>
      <w:spacing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2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1273A"/>
    <w:rPr>
      <w:color w:val="808080"/>
    </w:rPr>
  </w:style>
  <w:style w:type="paragraph" w:styleId="Textodeglobo">
    <w:name w:val="Balloon Text"/>
    <w:basedOn w:val="Normal"/>
    <w:link w:val="TextodegloboCar"/>
    <w:uiPriority w:val="99"/>
    <w:semiHidden/>
    <w:unhideWhenUsed/>
    <w:rsid w:val="0061273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73A"/>
    <w:rPr>
      <w:rFonts w:ascii="Tahoma" w:hAnsi="Tahoma" w:cs="Tahoma"/>
      <w:sz w:val="16"/>
      <w:szCs w:val="16"/>
    </w:rPr>
  </w:style>
  <w:style w:type="paragraph" w:styleId="Encabezado">
    <w:name w:val="header"/>
    <w:basedOn w:val="Normal"/>
    <w:link w:val="EncabezadoCar"/>
    <w:uiPriority w:val="99"/>
    <w:semiHidden/>
    <w:unhideWhenUsed/>
    <w:rsid w:val="00C12C5C"/>
    <w:pPr>
      <w:tabs>
        <w:tab w:val="center" w:pos="4252"/>
        <w:tab w:val="right" w:pos="8504"/>
      </w:tabs>
      <w:spacing w:after="0"/>
    </w:pPr>
  </w:style>
  <w:style w:type="character" w:customStyle="1" w:styleId="EncabezadoCar">
    <w:name w:val="Encabezado Car"/>
    <w:basedOn w:val="Fuentedeprrafopredeter"/>
    <w:link w:val="Encabezado"/>
    <w:uiPriority w:val="99"/>
    <w:semiHidden/>
    <w:rsid w:val="00C12C5C"/>
  </w:style>
  <w:style w:type="paragraph" w:styleId="Piedepgina">
    <w:name w:val="footer"/>
    <w:basedOn w:val="Normal"/>
    <w:link w:val="PiedepginaCar"/>
    <w:uiPriority w:val="99"/>
    <w:semiHidden/>
    <w:unhideWhenUsed/>
    <w:rsid w:val="00C12C5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C12C5C"/>
  </w:style>
  <w:style w:type="paragraph" w:customStyle="1" w:styleId="FormularioOAMC">
    <w:name w:val="Formulario_OAMC"/>
    <w:basedOn w:val="Normal"/>
    <w:qFormat/>
    <w:rsid w:val="00091D09"/>
    <w:pPr>
      <w:framePr w:hSpace="142" w:wrap="around" w:vAnchor="page" w:hAnchor="page" w:x="5937" w:y="681"/>
      <w:spacing w:after="0"/>
    </w:pPr>
    <w:rPr>
      <w:sz w:val="16"/>
      <w:szCs w:val="16"/>
    </w:rPr>
  </w:style>
  <w:style w:type="paragraph" w:styleId="Prrafodelista">
    <w:name w:val="List Paragraph"/>
    <w:basedOn w:val="Normal"/>
    <w:uiPriority w:val="34"/>
    <w:qFormat/>
    <w:rsid w:val="00A53CA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turae.gob.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ace.gob.es/" TargetMode="External"/><Relationship Id="rId4" Type="http://schemas.openxmlformats.org/officeDocument/2006/relationships/settings" Target="settings.xml"/><Relationship Id="rId9" Type="http://schemas.openxmlformats.org/officeDocument/2006/relationships/hyperlink" Target="http://face.gob.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mc.es\office\Cart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6085B-2C83-424B-8D3B-2C215539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Cartas</Template>
  <TotalTime>3</TotalTime>
  <Pages>1</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Carta.dotx</vt:lpstr>
    </vt:vector>
  </TitlesOfParts>
  <Company>Microsoft</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Carta.dotx</dc:title>
  <dc:subject>Plantilla de Cartas</dc:subject>
  <dc:creator>LIDIA</dc:creator>
  <cp:keywords>Cartas</cp:keywords>
  <dc:description>V-1.0 Fecha: 14-03-2013
V-1.1 Fecha: 04-04-2013 Justificado los formularios</dc:description>
  <cp:lastModifiedBy>LIDIA</cp:lastModifiedBy>
  <cp:revision>5</cp:revision>
  <dcterms:created xsi:type="dcterms:W3CDTF">2015-03-12T09:42:00Z</dcterms:created>
  <dcterms:modified xsi:type="dcterms:W3CDTF">2015-03-13T11:55:00Z</dcterms:modified>
  <cp:category>Plantilla</cp:category>
  <cp:contentStatus>Operativo</cp:contentStatus>
</cp:coreProperties>
</file>